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90B423" w14:textId="11EEE99C" w:rsidR="009039B3" w:rsidRPr="00841BCD" w:rsidRDefault="009039B3" w:rsidP="009039B3">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841BCD">
        <w:rPr>
          <w:rFonts w:ascii="Arial" w:eastAsia="SimSun" w:hAnsi="Arial" w:cs="Times New Roman"/>
          <w:b/>
          <w:bCs/>
          <w:sz w:val="24"/>
          <w:szCs w:val="20"/>
          <w:lang w:val="en-GB"/>
        </w:rPr>
        <w:t>3GPP T</w:t>
      </w:r>
      <w:bookmarkStart w:id="2" w:name="_Ref452454252"/>
      <w:bookmarkEnd w:id="2"/>
      <w:r w:rsidRPr="00841BCD">
        <w:rPr>
          <w:rFonts w:ascii="Arial" w:eastAsia="SimSun" w:hAnsi="Arial" w:cs="Times New Roman"/>
          <w:b/>
          <w:bCs/>
          <w:sz w:val="24"/>
          <w:szCs w:val="20"/>
          <w:lang w:val="en-GB"/>
        </w:rPr>
        <w:t xml:space="preserve">SG-RAN </w:t>
      </w:r>
      <w:r>
        <w:rPr>
          <w:rFonts w:ascii="Arial" w:eastAsia="SimSun" w:hAnsi="Arial" w:cs="Times New Roman"/>
          <w:b/>
          <w:sz w:val="24"/>
          <w:szCs w:val="20"/>
          <w:lang w:val="en-GB"/>
        </w:rPr>
        <w:t>WG4 Meeting #88</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00D356C3" w:rsidRPr="00D356C3">
        <w:rPr>
          <w:rFonts w:ascii="Arial" w:eastAsia="SimSun" w:hAnsi="Arial" w:cs="Times New Roman"/>
          <w:b/>
          <w:bCs/>
          <w:sz w:val="24"/>
          <w:szCs w:val="20"/>
          <w:lang w:val="en-GB" w:eastAsia="ja-JP"/>
        </w:rPr>
        <w:t>R4-1811118</w:t>
      </w:r>
      <w:bookmarkStart w:id="3" w:name="_GoBack"/>
      <w:bookmarkEnd w:id="3"/>
    </w:p>
    <w:p w14:paraId="265B4CAD" w14:textId="77777777" w:rsidR="009039B3" w:rsidRPr="00841BCD" w:rsidRDefault="009039B3" w:rsidP="009039B3">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Gothenburg, Sweden, 20-24 August 2018</w:t>
      </w:r>
    </w:p>
    <w:bookmarkEnd w:id="0"/>
    <w:bookmarkEnd w:id="1"/>
    <w:p w14:paraId="179957E6"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0CDDE3B"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24D368CF" w14:textId="77777777"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6A02ED">
        <w:rPr>
          <w:rFonts w:ascii="Arial" w:eastAsia="Calibri" w:hAnsi="Arial" w:cs="Arial"/>
          <w:b/>
          <w:bCs/>
          <w:sz w:val="24"/>
          <w:lang w:val="en-GB"/>
        </w:rPr>
        <w:t>Usage of SSB and SMTC periodicity in delay requirements</w:t>
      </w:r>
      <w:r w:rsidRPr="00841BCD" w:rsidDel="000A742C">
        <w:rPr>
          <w:rFonts w:ascii="Arial" w:eastAsia="Calibri" w:hAnsi="Arial" w:cs="Arial"/>
          <w:b/>
          <w:bCs/>
          <w:sz w:val="24"/>
          <w:lang w:val="en-GB"/>
        </w:rPr>
        <w:t xml:space="preserve"> </w:t>
      </w:r>
    </w:p>
    <w:p w14:paraId="5D688BEA" w14:textId="791537CA"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2A2EFA" w:rsidRPr="002A2EFA">
        <w:rPr>
          <w:rFonts w:ascii="Arial" w:eastAsia="MS Mincho" w:hAnsi="Arial" w:cs="Arial"/>
          <w:b/>
          <w:bCs/>
          <w:sz w:val="24"/>
          <w:szCs w:val="20"/>
          <w:lang w:val="en-GB"/>
        </w:rPr>
        <w:t>7.11.1</w:t>
      </w:r>
    </w:p>
    <w:p w14:paraId="0ECC6B20" w14:textId="77777777" w:rsidR="00841BCD" w:rsidRP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Pr="009039B3">
        <w:rPr>
          <w:rFonts w:ascii="Arial" w:eastAsia="Calibri" w:hAnsi="Arial" w:cs="Arial"/>
          <w:b/>
          <w:bCs/>
          <w:sz w:val="24"/>
          <w:lang w:val="en-GB"/>
        </w:rPr>
        <w:t>Discussion</w:t>
      </w:r>
    </w:p>
    <w:p w14:paraId="5336594E" w14:textId="77777777" w:rsidR="00841BCD" w:rsidRDefault="00841BCD" w:rsidP="00A37002">
      <w:pPr>
        <w:pStyle w:val="RAN4H1"/>
      </w:pPr>
      <w:r w:rsidRPr="00AE56B1">
        <w:t>Intro</w:t>
      </w:r>
      <w:r w:rsidRPr="00AE56B1">
        <w:rPr>
          <w:rStyle w:val="RAN4H1Char"/>
        </w:rPr>
        <w:t>ductio</w:t>
      </w:r>
      <w:r w:rsidRPr="00AE56B1">
        <w:t>n</w:t>
      </w:r>
    </w:p>
    <w:p w14:paraId="670CE564" w14:textId="77777777" w:rsidR="00D50896" w:rsidRPr="00D50896" w:rsidRDefault="006A02ED" w:rsidP="00D50896">
      <w:pPr>
        <w:rPr>
          <w:lang w:val="en-GB"/>
        </w:rPr>
      </w:pPr>
      <w:r w:rsidRPr="006A02ED">
        <w:rPr>
          <w:lang w:val="en-GB"/>
        </w:rPr>
        <w:t>In this contribution we discuss the use of SSB and SMTC periodicity in handover, PSCell addition and SCell activation delay requirements as a continuation to the discussion around the topic in Montreal AH.</w:t>
      </w:r>
    </w:p>
    <w:p w14:paraId="74C92848" w14:textId="77777777" w:rsidR="002C2D19" w:rsidRDefault="00FB2046" w:rsidP="00FB2046">
      <w:pPr>
        <w:pStyle w:val="RAN4H1"/>
      </w:pPr>
      <w:r>
        <w:t>Discussion</w:t>
      </w:r>
    </w:p>
    <w:p w14:paraId="641B5521" w14:textId="77777777" w:rsidR="006A02ED" w:rsidRDefault="006A02ED" w:rsidP="006A02ED">
      <w:r w:rsidRPr="00452B89">
        <w:t xml:space="preserve">In the last meeting an LS </w:t>
      </w:r>
      <w:r>
        <w:t xml:space="preserve">[1] </w:t>
      </w:r>
      <w:r w:rsidRPr="00452B89">
        <w:t xml:space="preserve">was sent to RAN2 </w:t>
      </w:r>
      <w:r>
        <w:t>with request to update 36.331 and 38.331 specifications with SSB-related assistance information. The contents of the LS are repeated below.</w:t>
      </w:r>
    </w:p>
    <w:p w14:paraId="079DC050" w14:textId="77777777" w:rsidR="006A02ED" w:rsidRDefault="006A02ED" w:rsidP="006A02ED">
      <w:pPr>
        <w:spacing w:after="120"/>
        <w:ind w:left="720"/>
        <w:rPr>
          <w:rFonts w:ascii="Arial" w:hAnsi="Arial" w:cs="Arial"/>
          <w:b/>
          <w:sz w:val="18"/>
        </w:rPr>
      </w:pPr>
      <w:r>
        <w:rPr>
          <w:rFonts w:ascii="Arial" w:hAnsi="Arial" w:cs="Arial"/>
          <w:b/>
          <w:sz w:val="18"/>
        </w:rPr>
        <w:t>1. Overall Description:</w:t>
      </w:r>
    </w:p>
    <w:p w14:paraId="49E77110" w14:textId="77777777" w:rsidR="006A02ED" w:rsidRDefault="006A02ED" w:rsidP="006A02ED">
      <w:pPr>
        <w:spacing w:after="120"/>
        <w:ind w:left="720"/>
        <w:jc w:val="both"/>
        <w:rPr>
          <w:rFonts w:ascii="Arial" w:hAnsi="Arial" w:cs="Arial"/>
          <w:bCs/>
          <w:sz w:val="18"/>
        </w:rPr>
      </w:pPr>
      <w:r>
        <w:rPr>
          <w:rFonts w:ascii="Arial" w:hAnsi="Arial" w:cs="Arial"/>
          <w:sz w:val="18"/>
        </w:rPr>
        <w:t>RAN4 would like to inform RAN2 that some of the SSB-related assistance information are missing in current TS 36.331 spec and TS 38.331 spec</w:t>
      </w:r>
      <w:r>
        <w:rPr>
          <w:rFonts w:ascii="Arial" w:hAnsi="Arial" w:cs="Arial"/>
          <w:bCs/>
          <w:sz w:val="18"/>
        </w:rPr>
        <w:t>.</w:t>
      </w:r>
    </w:p>
    <w:p w14:paraId="4EE94EE6" w14:textId="77777777" w:rsidR="006A02ED" w:rsidRDefault="006A02ED" w:rsidP="006A02ED">
      <w:pPr>
        <w:numPr>
          <w:ilvl w:val="0"/>
          <w:numId w:val="25"/>
        </w:numPr>
        <w:spacing w:after="120" w:line="240" w:lineRule="auto"/>
        <w:ind w:left="1080"/>
        <w:jc w:val="both"/>
        <w:rPr>
          <w:rFonts w:ascii="Arial" w:hAnsi="Arial" w:cs="Arial"/>
          <w:sz w:val="18"/>
        </w:rPr>
      </w:pPr>
      <w:r>
        <w:rPr>
          <w:rFonts w:ascii="Arial" w:hAnsi="Arial" w:cs="Arial"/>
          <w:sz w:val="18"/>
        </w:rPr>
        <w:t>In TS 38.331,</w:t>
      </w:r>
    </w:p>
    <w:p w14:paraId="6784B075" w14:textId="77777777" w:rsidR="006A02ED" w:rsidRDefault="006A02ED" w:rsidP="006A02ED">
      <w:pPr>
        <w:numPr>
          <w:ilvl w:val="1"/>
          <w:numId w:val="25"/>
        </w:numPr>
        <w:spacing w:after="120" w:line="240" w:lineRule="auto"/>
        <w:ind w:left="1800"/>
        <w:jc w:val="both"/>
        <w:rPr>
          <w:rFonts w:ascii="Arial" w:hAnsi="Arial" w:cs="Arial"/>
          <w:color w:val="000000"/>
          <w:sz w:val="18"/>
        </w:rPr>
      </w:pPr>
      <w:r>
        <w:rPr>
          <w:rFonts w:ascii="Arial" w:hAnsi="Arial" w:cs="Arial"/>
          <w:color w:val="000000"/>
          <w:sz w:val="18"/>
        </w:rPr>
        <w:t>For NR PSCell/SCell addition and handover procedure,</w:t>
      </w:r>
    </w:p>
    <w:p w14:paraId="68726FB6" w14:textId="77777777" w:rsidR="006A02ED" w:rsidRDefault="006A02ED" w:rsidP="006A02ED">
      <w:pPr>
        <w:numPr>
          <w:ilvl w:val="2"/>
          <w:numId w:val="25"/>
        </w:numPr>
        <w:spacing w:after="120" w:line="240" w:lineRule="auto"/>
        <w:ind w:left="2520"/>
        <w:jc w:val="both"/>
        <w:rPr>
          <w:rFonts w:ascii="Arial" w:hAnsi="Arial" w:cs="Arial"/>
          <w:sz w:val="18"/>
        </w:rPr>
      </w:pPr>
      <w:r>
        <w:rPr>
          <w:rFonts w:ascii="Arial" w:hAnsi="Arial" w:cs="Arial"/>
          <w:sz w:val="18"/>
        </w:rPr>
        <w:t xml:space="preserve">The assistance information about SSB timing offset for the target cell is missing in </w:t>
      </w:r>
      <w:r>
        <w:rPr>
          <w:i/>
          <w:sz w:val="18"/>
          <w:lang w:eastAsia="zh-CN"/>
        </w:rPr>
        <w:t>ServingCellConfigCommon</w:t>
      </w:r>
      <w:r>
        <w:rPr>
          <w:rFonts w:ascii="Arial" w:hAnsi="Arial" w:cs="Arial"/>
          <w:sz w:val="18"/>
        </w:rPr>
        <w:t>.</w:t>
      </w:r>
    </w:p>
    <w:p w14:paraId="093498F3" w14:textId="77777777" w:rsidR="006A02ED" w:rsidRDefault="006A02ED" w:rsidP="006A02ED">
      <w:pPr>
        <w:numPr>
          <w:ilvl w:val="2"/>
          <w:numId w:val="25"/>
        </w:numPr>
        <w:spacing w:after="120" w:line="240" w:lineRule="auto"/>
        <w:ind w:left="2520"/>
        <w:jc w:val="both"/>
        <w:rPr>
          <w:rFonts w:ascii="Arial" w:hAnsi="Arial" w:cs="Arial"/>
          <w:sz w:val="18"/>
        </w:rPr>
      </w:pPr>
      <w:r>
        <w:rPr>
          <w:rFonts w:ascii="Arial" w:hAnsi="Arial" w:cs="Arial"/>
          <w:sz w:val="18"/>
        </w:rPr>
        <w:t xml:space="preserve">It is suggested to provide additional optional information for timing offset of SSB for the target cell based on the timing reference of current serving cell in </w:t>
      </w:r>
      <w:r>
        <w:rPr>
          <w:i/>
          <w:sz w:val="18"/>
          <w:lang w:eastAsia="zh-CN"/>
        </w:rPr>
        <w:t>ServingCellConfigCommon</w:t>
      </w:r>
      <w:r>
        <w:rPr>
          <w:rFonts w:ascii="Arial" w:hAnsi="Arial" w:cs="Arial"/>
          <w:sz w:val="18"/>
        </w:rPr>
        <w:t xml:space="preserve"> to avoid UE blindly search for the SSB of target cell the whole SSB period. </w:t>
      </w:r>
    </w:p>
    <w:p w14:paraId="41DC511C" w14:textId="77777777" w:rsidR="006A02ED" w:rsidRDefault="006A02ED" w:rsidP="006A02ED">
      <w:pPr>
        <w:numPr>
          <w:ilvl w:val="1"/>
          <w:numId w:val="25"/>
        </w:numPr>
        <w:spacing w:after="120" w:line="240" w:lineRule="auto"/>
        <w:ind w:left="1800"/>
        <w:jc w:val="both"/>
        <w:rPr>
          <w:rFonts w:ascii="Arial" w:hAnsi="Arial" w:cs="Arial"/>
          <w:color w:val="000000"/>
          <w:sz w:val="18"/>
        </w:rPr>
      </w:pPr>
      <w:r>
        <w:rPr>
          <w:rFonts w:ascii="Arial" w:hAnsi="Arial" w:cs="Arial"/>
          <w:color w:val="000000"/>
          <w:sz w:val="18"/>
        </w:rPr>
        <w:t>For RRC Release with redirection to an inter-frequency NR cell,</w:t>
      </w:r>
    </w:p>
    <w:p w14:paraId="3C2066CE" w14:textId="77777777" w:rsidR="006A02ED" w:rsidRDefault="006A02ED" w:rsidP="006A02ED">
      <w:pPr>
        <w:numPr>
          <w:ilvl w:val="2"/>
          <w:numId w:val="25"/>
        </w:numPr>
        <w:spacing w:after="120" w:line="240" w:lineRule="auto"/>
        <w:ind w:left="2520"/>
        <w:jc w:val="both"/>
        <w:rPr>
          <w:rFonts w:ascii="Arial" w:hAnsi="Arial" w:cs="Arial"/>
          <w:sz w:val="18"/>
        </w:rPr>
      </w:pPr>
      <w:r>
        <w:rPr>
          <w:rFonts w:ascii="Arial" w:hAnsi="Arial" w:cs="Arial"/>
          <w:sz w:val="18"/>
        </w:rPr>
        <w:t xml:space="preserve">The SCS of SSB and SMTC are missing in </w:t>
      </w:r>
      <w:r>
        <w:rPr>
          <w:i/>
          <w:sz w:val="18"/>
          <w:lang w:eastAsia="zh-CN"/>
        </w:rPr>
        <w:t>RedirectedCarrierInfo.</w:t>
      </w:r>
    </w:p>
    <w:p w14:paraId="4214B930" w14:textId="77777777" w:rsidR="006A02ED" w:rsidRDefault="006A02ED" w:rsidP="006A02ED">
      <w:pPr>
        <w:numPr>
          <w:ilvl w:val="2"/>
          <w:numId w:val="25"/>
        </w:numPr>
        <w:spacing w:after="120" w:line="240" w:lineRule="auto"/>
        <w:ind w:left="2520"/>
        <w:jc w:val="both"/>
        <w:rPr>
          <w:rFonts w:ascii="Arial" w:hAnsi="Arial" w:cs="Arial"/>
          <w:sz w:val="18"/>
        </w:rPr>
      </w:pPr>
      <w:r>
        <w:rPr>
          <w:rFonts w:ascii="Arial" w:hAnsi="Arial" w:cs="Arial"/>
          <w:sz w:val="18"/>
        </w:rPr>
        <w:t xml:space="preserve">It is suggested to provide additional optional information for SCS of SSB and SMTC periodicity/offset/duration in </w:t>
      </w:r>
      <w:r>
        <w:rPr>
          <w:i/>
          <w:sz w:val="18"/>
          <w:lang w:eastAsia="zh-CN"/>
        </w:rPr>
        <w:t>RedirectedCarrierInfo</w:t>
      </w:r>
      <w:r>
        <w:rPr>
          <w:rFonts w:ascii="Arial" w:hAnsi="Arial" w:cs="Arial"/>
          <w:sz w:val="18"/>
        </w:rPr>
        <w:t xml:space="preserve"> to provide the needed information for UE to search for the SSB of target cell.</w:t>
      </w:r>
    </w:p>
    <w:p w14:paraId="301143CD" w14:textId="77777777" w:rsidR="006A02ED" w:rsidRDefault="006A02ED" w:rsidP="006A02ED">
      <w:pPr>
        <w:numPr>
          <w:ilvl w:val="0"/>
          <w:numId w:val="25"/>
        </w:numPr>
        <w:spacing w:after="120" w:line="240" w:lineRule="auto"/>
        <w:ind w:left="1080"/>
        <w:jc w:val="both"/>
        <w:rPr>
          <w:rFonts w:ascii="Arial" w:hAnsi="Arial" w:cs="Arial"/>
          <w:sz w:val="18"/>
        </w:rPr>
      </w:pPr>
      <w:r>
        <w:rPr>
          <w:rFonts w:ascii="Arial" w:hAnsi="Arial" w:cs="Arial"/>
          <w:sz w:val="18"/>
        </w:rPr>
        <w:t>In TS 36.331</w:t>
      </w:r>
    </w:p>
    <w:p w14:paraId="2162CF64" w14:textId="77777777" w:rsidR="006A02ED" w:rsidRDefault="006A02ED" w:rsidP="006A02ED">
      <w:pPr>
        <w:numPr>
          <w:ilvl w:val="1"/>
          <w:numId w:val="25"/>
        </w:numPr>
        <w:spacing w:after="120" w:line="240" w:lineRule="auto"/>
        <w:ind w:left="1800"/>
        <w:jc w:val="both"/>
        <w:rPr>
          <w:rFonts w:ascii="Arial" w:hAnsi="Arial" w:cs="Arial"/>
          <w:color w:val="000000"/>
          <w:sz w:val="18"/>
        </w:rPr>
      </w:pPr>
      <w:r>
        <w:rPr>
          <w:rFonts w:ascii="Arial" w:hAnsi="Arial" w:cs="Arial"/>
          <w:color w:val="000000"/>
          <w:sz w:val="18"/>
        </w:rPr>
        <w:t>For RRC Release with redirection to an inter-RAT NR cell,</w:t>
      </w:r>
    </w:p>
    <w:p w14:paraId="66BAE07B" w14:textId="77777777" w:rsidR="006A02ED" w:rsidRDefault="006A02ED" w:rsidP="006A02ED">
      <w:pPr>
        <w:numPr>
          <w:ilvl w:val="2"/>
          <w:numId w:val="25"/>
        </w:numPr>
        <w:spacing w:after="120" w:line="240" w:lineRule="auto"/>
        <w:ind w:left="2520"/>
        <w:jc w:val="both"/>
        <w:rPr>
          <w:rFonts w:ascii="Arial" w:hAnsi="Arial" w:cs="Arial"/>
          <w:sz w:val="18"/>
        </w:rPr>
      </w:pPr>
      <w:r>
        <w:rPr>
          <w:rFonts w:ascii="Arial" w:hAnsi="Arial" w:cs="Arial"/>
          <w:sz w:val="18"/>
        </w:rPr>
        <w:t xml:space="preserve">The SCS of SSB and SMTC are missing in </w:t>
      </w:r>
      <w:r>
        <w:rPr>
          <w:i/>
          <w:sz w:val="18"/>
          <w:lang w:eastAsia="zh-CN"/>
        </w:rPr>
        <w:t>RedirectedCarrierInfo.</w:t>
      </w:r>
    </w:p>
    <w:p w14:paraId="2A42AE85" w14:textId="77777777" w:rsidR="006A02ED" w:rsidRPr="00452B89" w:rsidRDefault="006A02ED" w:rsidP="006A02ED">
      <w:pPr>
        <w:numPr>
          <w:ilvl w:val="2"/>
          <w:numId w:val="25"/>
        </w:numPr>
        <w:spacing w:after="120" w:line="240" w:lineRule="auto"/>
        <w:ind w:left="2520"/>
        <w:jc w:val="both"/>
        <w:rPr>
          <w:rFonts w:ascii="Arial" w:hAnsi="Arial" w:cs="Arial"/>
          <w:sz w:val="18"/>
        </w:rPr>
      </w:pPr>
      <w:r>
        <w:rPr>
          <w:rFonts w:ascii="Arial" w:hAnsi="Arial" w:cs="Arial"/>
          <w:sz w:val="18"/>
        </w:rPr>
        <w:t xml:space="preserve">It is suggested to provide additional optional information of SCS of SSB and SMTC periodicity/offset/duration in </w:t>
      </w:r>
      <w:r>
        <w:rPr>
          <w:i/>
          <w:sz w:val="18"/>
          <w:lang w:eastAsia="zh-CN"/>
        </w:rPr>
        <w:t>RedirectedCarrierInfo</w:t>
      </w:r>
      <w:r>
        <w:rPr>
          <w:rFonts w:ascii="Arial" w:hAnsi="Arial" w:cs="Arial"/>
          <w:sz w:val="18"/>
        </w:rPr>
        <w:t xml:space="preserve"> to provide the needed information for UE to search for the SSB of target cell.</w:t>
      </w:r>
    </w:p>
    <w:p w14:paraId="5B2DE401" w14:textId="77777777" w:rsidR="006A02ED" w:rsidRDefault="006A02ED" w:rsidP="006A02ED">
      <w:r>
        <w:t xml:space="preserve">Related to this LS, it was proposed in [2] that SSB periodicity should be used instead of SMTC periodicity in the delay requirements for handover, PSCell addition and </w:t>
      </w:r>
      <w:r w:rsidRPr="007C2F38">
        <w:t>SCel</w:t>
      </w:r>
      <w:r>
        <w:t>l</w:t>
      </w:r>
      <w:r w:rsidRPr="007C2F38">
        <w:t xml:space="preserve"> activation</w:t>
      </w:r>
      <w:r>
        <w:t>. This proposal is related to the note under the handover requirements:</w:t>
      </w:r>
    </w:p>
    <w:p w14:paraId="0A90E357" w14:textId="77777777" w:rsidR="006A02ED" w:rsidRDefault="006A02ED" w:rsidP="006A02ED">
      <w:pPr>
        <w:pStyle w:val="B1"/>
      </w:pPr>
      <w:r>
        <w:t xml:space="preserve">NOTE 2: if the SMTC periodicity is not configured, the term SMTC periodicity in </w:t>
      </w:r>
      <w:r w:rsidRPr="0005008B">
        <w:rPr>
          <w:rFonts w:cs="v4.2.0"/>
        </w:rPr>
        <w:t>T</w:t>
      </w:r>
      <w:r w:rsidRPr="0005008B">
        <w:rPr>
          <w:rFonts w:cs="v4.2.0"/>
          <w:vertAlign w:val="subscript"/>
        </w:rPr>
        <w:t>search</w:t>
      </w:r>
      <w:r w:rsidRPr="0005008B">
        <w:rPr>
          <w:rFonts w:cs="v4.2.0"/>
        </w:rPr>
        <w:t xml:space="preserve"> </w:t>
      </w:r>
      <w:r>
        <w:t>and T</w:t>
      </w:r>
      <w:r w:rsidRPr="00A62CD9">
        <w:rPr>
          <w:vertAlign w:val="subscript"/>
        </w:rPr>
        <w:t>∆</w:t>
      </w:r>
      <w:r>
        <w:t xml:space="preserve"> shall be deemed to be replaced with SSB periodicity.</w:t>
      </w:r>
    </w:p>
    <w:p w14:paraId="736E4670" w14:textId="77777777" w:rsidR="006A02ED" w:rsidRDefault="006A02ED" w:rsidP="006A02ED">
      <w:pPr>
        <w:rPr>
          <w:lang w:val="en-GB"/>
        </w:rPr>
      </w:pPr>
      <w:r>
        <w:rPr>
          <w:lang w:val="en-GB"/>
        </w:rPr>
        <w:t>SSB periodicity may be shorter than SMTC periodicity, so in case SSB periodicity is available at the UE, using this as the requirement would potentially lead to a shorter delay. It depends on RAN2 agreements whether SSB periodicity is always known by the UE in handover etc. but if SSB periodicity is available, we see a benefit for using this in the requirements. On the other hand, if SSB periodicity is not available, the UE should use SMTC periodicity.</w:t>
      </w:r>
    </w:p>
    <w:p w14:paraId="68911B9D" w14:textId="77777777" w:rsidR="006A02ED" w:rsidRDefault="006A02ED" w:rsidP="006A02ED">
      <w:pPr>
        <w:rPr>
          <w:lang w:val="en-GB"/>
        </w:rPr>
      </w:pPr>
      <w:r>
        <w:rPr>
          <w:lang w:val="en-GB"/>
        </w:rPr>
        <w:lastRenderedPageBreak/>
        <w:t>We would propose to wait for RAN2 to conclude with the RAN4 request in the LS, and based on this, change the requirements such that they are primarily based on SSB periodicity, and if SSB periodicity is not known by the UE, the requirement is based on SMTC periodicity.</w:t>
      </w:r>
    </w:p>
    <w:p w14:paraId="21DD49A7" w14:textId="77777777" w:rsidR="006A02ED" w:rsidRPr="00AD3945" w:rsidRDefault="006A02ED" w:rsidP="006A02ED">
      <w:pPr>
        <w:rPr>
          <w:b/>
          <w:lang w:val="en-GB"/>
        </w:rPr>
      </w:pPr>
      <w:r w:rsidRPr="00AD3945">
        <w:rPr>
          <w:b/>
          <w:lang w:val="en-GB"/>
        </w:rPr>
        <w:t>Proposal 1: Define handover, PSCell addition and SCell activation requirements based on SSB periodicity</w:t>
      </w:r>
      <w:r>
        <w:rPr>
          <w:b/>
          <w:lang w:val="en-GB"/>
        </w:rPr>
        <w:t>. If</w:t>
      </w:r>
      <w:r w:rsidRPr="00AD3945">
        <w:rPr>
          <w:b/>
          <w:lang w:val="en-GB"/>
        </w:rPr>
        <w:t xml:space="preserve"> SSB periodicity is not available at the UE</w:t>
      </w:r>
      <w:r>
        <w:rPr>
          <w:b/>
          <w:lang w:val="en-GB"/>
        </w:rPr>
        <w:t>, SMTC periodicity is used instead</w:t>
      </w:r>
      <w:r w:rsidRPr="00AD3945">
        <w:rPr>
          <w:b/>
          <w:lang w:val="en-GB"/>
        </w:rPr>
        <w:t>.</w:t>
      </w:r>
    </w:p>
    <w:p w14:paraId="415F498F" w14:textId="77777777" w:rsidR="00D50896" w:rsidRPr="00D50896" w:rsidRDefault="00D50896" w:rsidP="00D50896">
      <w:pPr>
        <w:rPr>
          <w:lang w:val="en-GB"/>
        </w:rPr>
      </w:pPr>
    </w:p>
    <w:p w14:paraId="7F95CE22" w14:textId="5C98BD49" w:rsidR="00CD7492" w:rsidRDefault="00CD7492" w:rsidP="00A37002">
      <w:pPr>
        <w:pStyle w:val="RAN4H1"/>
      </w:pPr>
      <w:r w:rsidRPr="00A37002">
        <w:t>Conclusion</w:t>
      </w:r>
    </w:p>
    <w:p w14:paraId="6AA28291" w14:textId="51D62DD9" w:rsidR="002A2EFA" w:rsidRDefault="002A2EFA" w:rsidP="002A2EFA">
      <w:pPr>
        <w:rPr>
          <w:lang w:val="en-GB"/>
        </w:rPr>
      </w:pPr>
      <w:r>
        <w:rPr>
          <w:lang w:val="en-GB"/>
        </w:rPr>
        <w:t>In this contribution we have discussed the usage of SSB/SMTC periodicity in handover, SCell activation and PSCell addition delay requirements. We have made the following proposal:</w:t>
      </w:r>
    </w:p>
    <w:p w14:paraId="20A9AEFB" w14:textId="7896A646" w:rsidR="002A2EFA" w:rsidRPr="002A2EFA" w:rsidRDefault="002A2EFA" w:rsidP="002A2EFA">
      <w:pPr>
        <w:rPr>
          <w:b/>
          <w:lang w:val="en-GB"/>
        </w:rPr>
      </w:pPr>
      <w:r w:rsidRPr="00AD3945">
        <w:rPr>
          <w:b/>
          <w:lang w:val="en-GB"/>
        </w:rPr>
        <w:t>Proposal 1: Define handover, PSCell addition and SCell activation requirements based on SSB periodicity</w:t>
      </w:r>
      <w:r>
        <w:rPr>
          <w:b/>
          <w:lang w:val="en-GB"/>
        </w:rPr>
        <w:t>. If</w:t>
      </w:r>
      <w:r w:rsidRPr="00AD3945">
        <w:rPr>
          <w:b/>
          <w:lang w:val="en-GB"/>
        </w:rPr>
        <w:t xml:space="preserve"> SSB periodicity is not available at the UE</w:t>
      </w:r>
      <w:r>
        <w:rPr>
          <w:b/>
          <w:lang w:val="en-GB"/>
        </w:rPr>
        <w:t>, SMTC periodicity is used instead</w:t>
      </w:r>
      <w:r w:rsidRPr="00AD3945">
        <w:rPr>
          <w:b/>
          <w:lang w:val="en-GB"/>
        </w:rPr>
        <w:t>.</w:t>
      </w:r>
    </w:p>
    <w:p w14:paraId="59F3AF32" w14:textId="77777777" w:rsidR="003B659E" w:rsidRPr="0095295C" w:rsidRDefault="003B659E" w:rsidP="007A4AD4">
      <w:pPr>
        <w:pStyle w:val="RAN4H1"/>
        <w:numPr>
          <w:ilvl w:val="0"/>
          <w:numId w:val="0"/>
        </w:numPr>
        <w:ind w:left="360" w:hanging="360"/>
      </w:pPr>
      <w:r w:rsidRPr="0095295C">
        <w:t>References</w:t>
      </w:r>
    </w:p>
    <w:p w14:paraId="4675B740" w14:textId="77777777" w:rsidR="002A2EFA" w:rsidRPr="006A02ED" w:rsidRDefault="002A2EFA" w:rsidP="002A2EFA">
      <w:pPr>
        <w:rPr>
          <w:lang w:val="en-GB"/>
        </w:rPr>
      </w:pPr>
      <w:r w:rsidRPr="006A02ED">
        <w:rPr>
          <w:lang w:val="en-GB"/>
        </w:rPr>
        <w:t>[1] R4-1809547, LS on missing SSB information</w:t>
      </w:r>
      <w:r>
        <w:rPr>
          <w:lang w:val="en-GB"/>
        </w:rPr>
        <w:t xml:space="preserve">, RAN4 to RAN2, </w:t>
      </w:r>
      <w:r w:rsidRPr="006A02ED">
        <w:rPr>
          <w:lang w:val="en-GB"/>
        </w:rPr>
        <w:t>3GPP TSG-RAN WG4 Meeting #AH1807, Montreal, Canada, July 2nd –6th, 2018.</w:t>
      </w:r>
    </w:p>
    <w:p w14:paraId="2D03FAC7" w14:textId="77777777" w:rsidR="002A2EFA" w:rsidRPr="007A4AD4" w:rsidRDefault="002A2EFA" w:rsidP="002A2EFA">
      <w:pPr>
        <w:rPr>
          <w:lang w:val="en-GB"/>
        </w:rPr>
      </w:pPr>
      <w:r w:rsidRPr="006A02ED">
        <w:rPr>
          <w:lang w:val="en-GB"/>
        </w:rPr>
        <w:t>[2] R4-1808841, Missing SSB information for target NR cell, MediaTek Inc., 3GPP TSG-RAN WG4 Meeting #AH1807, Montreal, Canada, July 2nd –6th, 2018.</w:t>
      </w:r>
    </w:p>
    <w:p w14:paraId="7494EA40" w14:textId="77777777" w:rsidR="00687FA0" w:rsidRPr="003B659E" w:rsidRDefault="00687FA0" w:rsidP="00841BCD">
      <w:pPr>
        <w:ind w:right="-22"/>
        <w:rPr>
          <w:lang w:val="en-GB"/>
        </w:rPr>
      </w:pPr>
    </w:p>
    <w:sectPr w:rsidR="00687FA0" w:rsidRPr="003B659E"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CE2AB9" w14:textId="77777777" w:rsidR="002C35CE" w:rsidRDefault="002C35CE" w:rsidP="00001C9B">
      <w:pPr>
        <w:spacing w:after="0" w:line="240" w:lineRule="auto"/>
      </w:pPr>
      <w:r>
        <w:separator/>
      </w:r>
    </w:p>
  </w:endnote>
  <w:endnote w:type="continuationSeparator" w:id="0">
    <w:p w14:paraId="0C6A5D7C" w14:textId="77777777" w:rsidR="002C35CE" w:rsidRDefault="002C35CE"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F5C2AB" w14:textId="77777777" w:rsidR="002C35CE" w:rsidRDefault="002C35CE" w:rsidP="00001C9B">
      <w:pPr>
        <w:spacing w:after="0" w:line="240" w:lineRule="auto"/>
      </w:pPr>
      <w:r>
        <w:separator/>
      </w:r>
    </w:p>
  </w:footnote>
  <w:footnote w:type="continuationSeparator" w:id="0">
    <w:p w14:paraId="705E7BD7" w14:textId="77777777" w:rsidR="002C35CE" w:rsidRDefault="002C35CE"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6C346BB"/>
    <w:multiLevelType w:val="hybridMultilevel"/>
    <w:tmpl w:val="58869400"/>
    <w:lvl w:ilvl="0" w:tplc="048AA59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88341CE"/>
    <w:multiLevelType w:val="hybridMultilevel"/>
    <w:tmpl w:val="85E05F4A"/>
    <w:lvl w:ilvl="0" w:tplc="4630340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3247F93"/>
    <w:multiLevelType w:val="hybridMultilevel"/>
    <w:tmpl w:val="E2346CF6"/>
    <w:lvl w:ilvl="0" w:tplc="048AA59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3617321"/>
    <w:multiLevelType w:val="hybridMultilevel"/>
    <w:tmpl w:val="12B85F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Times New Roman"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Times New Roman" w:hint="default"/>
      </w:rPr>
    </w:lvl>
    <w:lvl w:ilvl="8" w:tplc="04090005">
      <w:start w:val="1"/>
      <w:numFmt w:val="bullet"/>
      <w:lvlText w:val=""/>
      <w:lvlJc w:val="left"/>
      <w:pPr>
        <w:ind w:left="6120" w:hanging="360"/>
      </w:pPr>
      <w:rPr>
        <w:rFonts w:ascii="Wingdings" w:hAnsi="Wingdings" w:hint="default"/>
      </w:rPr>
    </w:lvl>
  </w:abstractNum>
  <w:abstractNum w:abstractNumId="12"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DE935DD"/>
    <w:multiLevelType w:val="hybridMultilevel"/>
    <w:tmpl w:val="2B3637B6"/>
    <w:lvl w:ilvl="0" w:tplc="B0F2BF2E">
      <w:start w:val="1"/>
      <w:numFmt w:val="bullet"/>
      <w:lvlText w:val="•"/>
      <w:lvlJc w:val="left"/>
      <w:pPr>
        <w:tabs>
          <w:tab w:val="num" w:pos="720"/>
        </w:tabs>
        <w:ind w:left="720" w:hanging="360"/>
      </w:pPr>
      <w:rPr>
        <w:rFonts w:ascii="Arial" w:hAnsi="Arial" w:hint="default"/>
      </w:rPr>
    </w:lvl>
    <w:lvl w:ilvl="1" w:tplc="CFB60158">
      <w:numFmt w:val="bullet"/>
      <w:lvlText w:val="–"/>
      <w:lvlJc w:val="left"/>
      <w:pPr>
        <w:tabs>
          <w:tab w:val="num" w:pos="1440"/>
        </w:tabs>
        <w:ind w:left="1440" w:hanging="360"/>
      </w:pPr>
      <w:rPr>
        <w:rFonts w:ascii="Arial" w:hAnsi="Arial" w:hint="default"/>
      </w:rPr>
    </w:lvl>
    <w:lvl w:ilvl="2" w:tplc="F56CFB56" w:tentative="1">
      <w:start w:val="1"/>
      <w:numFmt w:val="bullet"/>
      <w:lvlText w:val="•"/>
      <w:lvlJc w:val="left"/>
      <w:pPr>
        <w:tabs>
          <w:tab w:val="num" w:pos="2160"/>
        </w:tabs>
        <w:ind w:left="2160" w:hanging="360"/>
      </w:pPr>
      <w:rPr>
        <w:rFonts w:ascii="Arial" w:hAnsi="Arial" w:hint="default"/>
      </w:rPr>
    </w:lvl>
    <w:lvl w:ilvl="3" w:tplc="B934743C" w:tentative="1">
      <w:start w:val="1"/>
      <w:numFmt w:val="bullet"/>
      <w:lvlText w:val="•"/>
      <w:lvlJc w:val="left"/>
      <w:pPr>
        <w:tabs>
          <w:tab w:val="num" w:pos="2880"/>
        </w:tabs>
        <w:ind w:left="2880" w:hanging="360"/>
      </w:pPr>
      <w:rPr>
        <w:rFonts w:ascii="Arial" w:hAnsi="Arial" w:hint="default"/>
      </w:rPr>
    </w:lvl>
    <w:lvl w:ilvl="4" w:tplc="B69CEC96" w:tentative="1">
      <w:start w:val="1"/>
      <w:numFmt w:val="bullet"/>
      <w:lvlText w:val="•"/>
      <w:lvlJc w:val="left"/>
      <w:pPr>
        <w:tabs>
          <w:tab w:val="num" w:pos="3600"/>
        </w:tabs>
        <w:ind w:left="3600" w:hanging="360"/>
      </w:pPr>
      <w:rPr>
        <w:rFonts w:ascii="Arial" w:hAnsi="Arial" w:hint="default"/>
      </w:rPr>
    </w:lvl>
    <w:lvl w:ilvl="5" w:tplc="B89E264C" w:tentative="1">
      <w:start w:val="1"/>
      <w:numFmt w:val="bullet"/>
      <w:lvlText w:val="•"/>
      <w:lvlJc w:val="left"/>
      <w:pPr>
        <w:tabs>
          <w:tab w:val="num" w:pos="4320"/>
        </w:tabs>
        <w:ind w:left="4320" w:hanging="360"/>
      </w:pPr>
      <w:rPr>
        <w:rFonts w:ascii="Arial" w:hAnsi="Arial" w:hint="default"/>
      </w:rPr>
    </w:lvl>
    <w:lvl w:ilvl="6" w:tplc="752CBEA0" w:tentative="1">
      <w:start w:val="1"/>
      <w:numFmt w:val="bullet"/>
      <w:lvlText w:val="•"/>
      <w:lvlJc w:val="left"/>
      <w:pPr>
        <w:tabs>
          <w:tab w:val="num" w:pos="5040"/>
        </w:tabs>
        <w:ind w:left="5040" w:hanging="360"/>
      </w:pPr>
      <w:rPr>
        <w:rFonts w:ascii="Arial" w:hAnsi="Arial" w:hint="default"/>
      </w:rPr>
    </w:lvl>
    <w:lvl w:ilvl="7" w:tplc="9CECB43E" w:tentative="1">
      <w:start w:val="1"/>
      <w:numFmt w:val="bullet"/>
      <w:lvlText w:val="•"/>
      <w:lvlJc w:val="left"/>
      <w:pPr>
        <w:tabs>
          <w:tab w:val="num" w:pos="5760"/>
        </w:tabs>
        <w:ind w:left="5760" w:hanging="360"/>
      </w:pPr>
      <w:rPr>
        <w:rFonts w:ascii="Arial" w:hAnsi="Arial" w:hint="default"/>
      </w:rPr>
    </w:lvl>
    <w:lvl w:ilvl="8" w:tplc="6408DCF6"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4"/>
  </w:num>
  <w:num w:numId="3">
    <w:abstractNumId w:val="10"/>
  </w:num>
  <w:num w:numId="4">
    <w:abstractNumId w:val="2"/>
  </w:num>
  <w:num w:numId="5">
    <w:abstractNumId w:val="13"/>
  </w:num>
  <w:num w:numId="6">
    <w:abstractNumId w:val="8"/>
  </w:num>
  <w:num w:numId="7">
    <w:abstractNumId w:val="9"/>
  </w:num>
  <w:num w:numId="8">
    <w:abstractNumId w:val="9"/>
    <w:lvlOverride w:ilvl="0">
      <w:startOverride w:val="1"/>
    </w:lvlOverride>
  </w:num>
  <w:num w:numId="9">
    <w:abstractNumId w:val="9"/>
    <w:lvlOverride w:ilvl="0">
      <w:startOverride w:val="1"/>
    </w:lvlOverride>
  </w:num>
  <w:num w:numId="10">
    <w:abstractNumId w:val="9"/>
    <w:lvlOverride w:ilvl="0">
      <w:startOverride w:val="1"/>
    </w:lvlOverride>
  </w:num>
  <w:num w:numId="11">
    <w:abstractNumId w:val="8"/>
    <w:lvlOverride w:ilvl="0">
      <w:startOverride w:val="1"/>
    </w:lvlOverride>
  </w:num>
  <w:num w:numId="12">
    <w:abstractNumId w:val="9"/>
    <w:lvlOverride w:ilvl="0">
      <w:startOverride w:val="1"/>
    </w:lvlOverride>
  </w:num>
  <w:num w:numId="13">
    <w:abstractNumId w:val="8"/>
    <w:lvlOverride w:ilvl="0">
      <w:startOverride w:val="1"/>
    </w:lvlOverride>
  </w:num>
  <w:num w:numId="14">
    <w:abstractNumId w:val="9"/>
    <w:lvlOverride w:ilvl="0">
      <w:startOverride w:val="1"/>
    </w:lvlOverride>
  </w:num>
  <w:num w:numId="15">
    <w:abstractNumId w:val="14"/>
  </w:num>
  <w:num w:numId="16">
    <w:abstractNumId w:val="1"/>
  </w:num>
  <w:num w:numId="17">
    <w:abstractNumId w:val="12"/>
  </w:num>
  <w:num w:numId="18">
    <w:abstractNumId w:val="12"/>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5"/>
  </w:num>
  <w:num w:numId="22">
    <w:abstractNumId w:val="6"/>
  </w:num>
  <w:num w:numId="23">
    <w:abstractNumId w:val="3"/>
  </w:num>
  <w:num w:numId="24">
    <w:abstractNumId w:val="5"/>
  </w:num>
  <w:num w:numId="2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8612A"/>
    <w:rsid w:val="000B0056"/>
    <w:rsid w:val="001745F8"/>
    <w:rsid w:val="001838CF"/>
    <w:rsid w:val="00184C2A"/>
    <w:rsid w:val="001A3BA4"/>
    <w:rsid w:val="001E30F6"/>
    <w:rsid w:val="00204D5E"/>
    <w:rsid w:val="00235F5C"/>
    <w:rsid w:val="002A2EFA"/>
    <w:rsid w:val="002B4922"/>
    <w:rsid w:val="002C2D19"/>
    <w:rsid w:val="002C35CE"/>
    <w:rsid w:val="002D10FA"/>
    <w:rsid w:val="002D4C55"/>
    <w:rsid w:val="003B659E"/>
    <w:rsid w:val="0043750A"/>
    <w:rsid w:val="004E5E66"/>
    <w:rsid w:val="00503B4D"/>
    <w:rsid w:val="00504EE9"/>
    <w:rsid w:val="0054442C"/>
    <w:rsid w:val="00550285"/>
    <w:rsid w:val="005836F8"/>
    <w:rsid w:val="005918FA"/>
    <w:rsid w:val="005E61A8"/>
    <w:rsid w:val="005F6419"/>
    <w:rsid w:val="00617400"/>
    <w:rsid w:val="00664950"/>
    <w:rsid w:val="00683220"/>
    <w:rsid w:val="00687FA0"/>
    <w:rsid w:val="006A02ED"/>
    <w:rsid w:val="006A6476"/>
    <w:rsid w:val="006B7010"/>
    <w:rsid w:val="007145FF"/>
    <w:rsid w:val="00751515"/>
    <w:rsid w:val="00785232"/>
    <w:rsid w:val="007A4AD4"/>
    <w:rsid w:val="007C3ED0"/>
    <w:rsid w:val="00806A76"/>
    <w:rsid w:val="00811C9D"/>
    <w:rsid w:val="00816C80"/>
    <w:rsid w:val="00841BCD"/>
    <w:rsid w:val="00851A8E"/>
    <w:rsid w:val="008826C1"/>
    <w:rsid w:val="00890FBB"/>
    <w:rsid w:val="0090091A"/>
    <w:rsid w:val="009039B3"/>
    <w:rsid w:val="009042BD"/>
    <w:rsid w:val="00977E1D"/>
    <w:rsid w:val="00A22B78"/>
    <w:rsid w:val="00A25AE5"/>
    <w:rsid w:val="00A37002"/>
    <w:rsid w:val="00AA1B0E"/>
    <w:rsid w:val="00AC5CA7"/>
    <w:rsid w:val="00AE56B1"/>
    <w:rsid w:val="00B73862"/>
    <w:rsid w:val="00BA6E48"/>
    <w:rsid w:val="00BF2218"/>
    <w:rsid w:val="00CD7492"/>
    <w:rsid w:val="00CE3A6B"/>
    <w:rsid w:val="00D00211"/>
    <w:rsid w:val="00D05D39"/>
    <w:rsid w:val="00D06309"/>
    <w:rsid w:val="00D351EA"/>
    <w:rsid w:val="00D356C3"/>
    <w:rsid w:val="00D43403"/>
    <w:rsid w:val="00D50896"/>
    <w:rsid w:val="00D62E71"/>
    <w:rsid w:val="00D6619A"/>
    <w:rsid w:val="00D740CA"/>
    <w:rsid w:val="00D85728"/>
    <w:rsid w:val="00DA0ED9"/>
    <w:rsid w:val="00DF2997"/>
    <w:rsid w:val="00E4239A"/>
    <w:rsid w:val="00E47EB7"/>
    <w:rsid w:val="00EC7BC3"/>
    <w:rsid w:val="00ED7600"/>
    <w:rsid w:val="00EE7919"/>
    <w:rsid w:val="00F1362C"/>
    <w:rsid w:val="00F824F5"/>
    <w:rsid w:val="00FB0FD3"/>
    <w:rsid w:val="00FB2046"/>
    <w:rsid w:val="00FC29B9"/>
    <w:rsid w:val="00FC6FD3"/>
    <w:rsid w:val="00FF03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5689B3"/>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NormalWeb">
    <w:name w:val="Normal (Web)"/>
    <w:basedOn w:val="Normal"/>
    <w:uiPriority w:val="99"/>
    <w:semiHidden/>
    <w:unhideWhenUsed/>
    <w:rsid w:val="00184C2A"/>
    <w:pPr>
      <w:spacing w:before="100" w:beforeAutospacing="1" w:after="100" w:afterAutospacing="1" w:line="240" w:lineRule="auto"/>
    </w:pPr>
    <w:rPr>
      <w:rFonts w:eastAsia="Times New Roman" w:cs="Times New Roman"/>
      <w:sz w:val="24"/>
      <w:szCs w:val="24"/>
    </w:rPr>
  </w:style>
  <w:style w:type="paragraph" w:customStyle="1" w:styleId="Doc-text2">
    <w:name w:val="Doc-text2"/>
    <w:basedOn w:val="Normal"/>
    <w:link w:val="Doc-text2Char"/>
    <w:qFormat/>
    <w:rsid w:val="00FB2046"/>
    <w:pPr>
      <w:tabs>
        <w:tab w:val="left" w:pos="1622"/>
      </w:tabs>
      <w:spacing w:after="0" w:line="240" w:lineRule="auto"/>
      <w:ind w:left="1622" w:hanging="363"/>
    </w:pPr>
    <w:rPr>
      <w:rFonts w:ascii="Arial" w:eastAsia="MS Mincho" w:hAnsi="Arial" w:cs="Times New Roman"/>
      <w:szCs w:val="24"/>
      <w:lang w:val="en-GB" w:eastAsia="en-GB"/>
    </w:rPr>
  </w:style>
  <w:style w:type="character" w:customStyle="1" w:styleId="Doc-text2Char">
    <w:name w:val="Doc-text2 Char"/>
    <w:link w:val="Doc-text2"/>
    <w:rsid w:val="00FB2046"/>
    <w:rPr>
      <w:rFonts w:ascii="Arial" w:eastAsia="MS Mincho" w:hAnsi="Arial" w:cs="Times New Roman"/>
      <w:sz w:val="20"/>
      <w:szCs w:val="24"/>
      <w:lang w:val="en-GB" w:eastAsia="en-GB"/>
    </w:rPr>
  </w:style>
  <w:style w:type="paragraph" w:customStyle="1" w:styleId="B1">
    <w:name w:val="B1"/>
    <w:basedOn w:val="Normal"/>
    <w:link w:val="B1Char"/>
    <w:rsid w:val="006A02ED"/>
    <w:pPr>
      <w:spacing w:after="180" w:line="240" w:lineRule="auto"/>
      <w:ind w:left="568" w:hanging="284"/>
    </w:pPr>
    <w:rPr>
      <w:rFonts w:eastAsia="SimSun" w:cs="Times New Roman"/>
      <w:szCs w:val="20"/>
      <w:lang w:val="en-GB"/>
    </w:rPr>
  </w:style>
  <w:style w:type="character" w:customStyle="1" w:styleId="B1Char">
    <w:name w:val="B1 Char"/>
    <w:link w:val="B1"/>
    <w:rsid w:val="006A02ED"/>
    <w:rPr>
      <w:rFonts w:ascii="Times New Roman" w:eastAsia="SimSun" w:hAnsi="Times New Roman" w:cs="Times New Roman"/>
      <w:sz w:val="20"/>
      <w:szCs w:val="20"/>
      <w:lang w:val="en-GB"/>
    </w:rPr>
  </w:style>
  <w:style w:type="character" w:styleId="CommentReference">
    <w:name w:val="annotation reference"/>
    <w:basedOn w:val="DefaultParagraphFont"/>
    <w:uiPriority w:val="99"/>
    <w:semiHidden/>
    <w:unhideWhenUsed/>
    <w:rsid w:val="006A02ED"/>
    <w:rPr>
      <w:sz w:val="16"/>
      <w:szCs w:val="16"/>
    </w:rPr>
  </w:style>
  <w:style w:type="paragraph" w:styleId="CommentText">
    <w:name w:val="annotation text"/>
    <w:basedOn w:val="Normal"/>
    <w:link w:val="CommentTextChar"/>
    <w:uiPriority w:val="99"/>
    <w:semiHidden/>
    <w:unhideWhenUsed/>
    <w:rsid w:val="006A02ED"/>
    <w:pPr>
      <w:spacing w:line="240" w:lineRule="auto"/>
    </w:pPr>
    <w:rPr>
      <w:szCs w:val="20"/>
    </w:rPr>
  </w:style>
  <w:style w:type="character" w:customStyle="1" w:styleId="CommentTextChar">
    <w:name w:val="Comment Text Char"/>
    <w:basedOn w:val="DefaultParagraphFont"/>
    <w:link w:val="CommentText"/>
    <w:uiPriority w:val="99"/>
    <w:semiHidden/>
    <w:rsid w:val="006A02ED"/>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6A02ED"/>
    <w:rPr>
      <w:b/>
      <w:bCs/>
    </w:rPr>
  </w:style>
  <w:style w:type="character" w:customStyle="1" w:styleId="CommentSubjectChar">
    <w:name w:val="Comment Subject Char"/>
    <w:basedOn w:val="CommentTextChar"/>
    <w:link w:val="CommentSubject"/>
    <w:uiPriority w:val="99"/>
    <w:semiHidden/>
    <w:rsid w:val="006A02ED"/>
    <w:rPr>
      <w:rFonts w:ascii="Times New Roman" w:hAnsi="Times New Roman"/>
      <w:b/>
      <w:bCs/>
      <w:sz w:val="20"/>
      <w:szCs w:val="20"/>
    </w:rPr>
  </w:style>
  <w:style w:type="paragraph" w:styleId="BalloonText">
    <w:name w:val="Balloon Text"/>
    <w:basedOn w:val="Normal"/>
    <w:link w:val="BalloonTextChar"/>
    <w:uiPriority w:val="99"/>
    <w:semiHidden/>
    <w:unhideWhenUsed/>
    <w:rsid w:val="006A02E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A02E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8749732">
      <w:bodyDiv w:val="1"/>
      <w:marLeft w:val="0"/>
      <w:marRight w:val="0"/>
      <w:marTop w:val="0"/>
      <w:marBottom w:val="0"/>
      <w:divBdr>
        <w:top w:val="none" w:sz="0" w:space="0" w:color="auto"/>
        <w:left w:val="none" w:sz="0" w:space="0" w:color="auto"/>
        <w:bottom w:val="none" w:sz="0" w:space="0" w:color="auto"/>
        <w:right w:val="none" w:sz="0" w:space="0" w:color="auto"/>
      </w:divBdr>
    </w:div>
    <w:div w:id="1111626560">
      <w:bodyDiv w:val="1"/>
      <w:marLeft w:val="0"/>
      <w:marRight w:val="0"/>
      <w:marTop w:val="0"/>
      <w:marBottom w:val="0"/>
      <w:divBdr>
        <w:top w:val="none" w:sz="0" w:space="0" w:color="auto"/>
        <w:left w:val="none" w:sz="0" w:space="0" w:color="auto"/>
        <w:bottom w:val="none" w:sz="0" w:space="0" w:color="auto"/>
        <w:right w:val="none" w:sz="0" w:space="0" w:color="auto"/>
      </w:divBdr>
      <w:divsChild>
        <w:div w:id="2005624517">
          <w:marLeft w:val="547"/>
          <w:marRight w:val="0"/>
          <w:marTop w:val="120"/>
          <w:marBottom w:val="0"/>
          <w:divBdr>
            <w:top w:val="none" w:sz="0" w:space="0" w:color="auto"/>
            <w:left w:val="none" w:sz="0" w:space="0" w:color="auto"/>
            <w:bottom w:val="none" w:sz="0" w:space="0" w:color="auto"/>
            <w:right w:val="none" w:sz="0" w:space="0" w:color="auto"/>
          </w:divBdr>
        </w:div>
        <w:div w:id="1831828775">
          <w:marLeft w:val="1166"/>
          <w:marRight w:val="0"/>
          <w:marTop w:val="101"/>
          <w:marBottom w:val="0"/>
          <w:divBdr>
            <w:top w:val="none" w:sz="0" w:space="0" w:color="auto"/>
            <w:left w:val="none" w:sz="0" w:space="0" w:color="auto"/>
            <w:bottom w:val="none" w:sz="0" w:space="0" w:color="auto"/>
            <w:right w:val="none" w:sz="0" w:space="0" w:color="auto"/>
          </w:divBdr>
        </w:div>
        <w:div w:id="1638101372">
          <w:marLeft w:val="1166"/>
          <w:marRight w:val="0"/>
          <w:marTop w:val="101"/>
          <w:marBottom w:val="0"/>
          <w:divBdr>
            <w:top w:val="none" w:sz="0" w:space="0" w:color="auto"/>
            <w:left w:val="none" w:sz="0" w:space="0" w:color="auto"/>
            <w:bottom w:val="none" w:sz="0" w:space="0" w:color="auto"/>
            <w:right w:val="none" w:sz="0" w:space="0" w:color="auto"/>
          </w:divBdr>
        </w:div>
        <w:div w:id="664166036">
          <w:marLeft w:val="1166"/>
          <w:marRight w:val="0"/>
          <w:marTop w:val="101"/>
          <w:marBottom w:val="0"/>
          <w:divBdr>
            <w:top w:val="none" w:sz="0" w:space="0" w:color="auto"/>
            <w:left w:val="none" w:sz="0" w:space="0" w:color="auto"/>
            <w:bottom w:val="none" w:sz="0" w:space="0" w:color="auto"/>
            <w:right w:val="none" w:sz="0" w:space="0" w:color="auto"/>
          </w:divBdr>
        </w:div>
        <w:div w:id="69474836">
          <w:marLeft w:val="1166"/>
          <w:marRight w:val="0"/>
          <w:marTop w:val="101"/>
          <w:marBottom w:val="0"/>
          <w:divBdr>
            <w:top w:val="none" w:sz="0" w:space="0" w:color="auto"/>
            <w:left w:val="none" w:sz="0" w:space="0" w:color="auto"/>
            <w:bottom w:val="none" w:sz="0" w:space="0" w:color="auto"/>
            <w:right w:val="none" w:sz="0" w:space="0" w:color="auto"/>
          </w:divBdr>
        </w:div>
        <w:div w:id="1575318283">
          <w:marLeft w:val="1166"/>
          <w:marRight w:val="0"/>
          <w:marTop w:val="101"/>
          <w:marBottom w:val="0"/>
          <w:divBdr>
            <w:top w:val="none" w:sz="0" w:space="0" w:color="auto"/>
            <w:left w:val="none" w:sz="0" w:space="0" w:color="auto"/>
            <w:bottom w:val="none" w:sz="0" w:space="0" w:color="auto"/>
            <w:right w:val="none" w:sz="0" w:space="0" w:color="auto"/>
          </w:divBdr>
        </w:div>
        <w:div w:id="1264261926">
          <w:marLeft w:val="547"/>
          <w:marRight w:val="0"/>
          <w:marTop w:val="120"/>
          <w:marBottom w:val="0"/>
          <w:divBdr>
            <w:top w:val="none" w:sz="0" w:space="0" w:color="auto"/>
            <w:left w:val="none" w:sz="0" w:space="0" w:color="auto"/>
            <w:bottom w:val="none" w:sz="0" w:space="0" w:color="auto"/>
            <w:right w:val="none" w:sz="0" w:space="0" w:color="auto"/>
          </w:divBdr>
        </w:div>
        <w:div w:id="565839128">
          <w:marLeft w:val="547"/>
          <w:marRight w:val="0"/>
          <w:marTop w:val="120"/>
          <w:marBottom w:val="0"/>
          <w:divBdr>
            <w:top w:val="none" w:sz="0" w:space="0" w:color="auto"/>
            <w:left w:val="none" w:sz="0" w:space="0" w:color="auto"/>
            <w:bottom w:val="none" w:sz="0" w:space="0" w:color="auto"/>
            <w:right w:val="none" w:sz="0" w:space="0" w:color="auto"/>
          </w:divBdr>
        </w:div>
        <w:div w:id="809713170">
          <w:marLeft w:val="1166"/>
          <w:marRight w:val="0"/>
          <w:marTop w:val="101"/>
          <w:marBottom w:val="0"/>
          <w:divBdr>
            <w:top w:val="none" w:sz="0" w:space="0" w:color="auto"/>
            <w:left w:val="none" w:sz="0" w:space="0" w:color="auto"/>
            <w:bottom w:val="none" w:sz="0" w:space="0" w:color="auto"/>
            <w:right w:val="none" w:sz="0" w:space="0" w:color="auto"/>
          </w:divBdr>
        </w:div>
      </w:divsChild>
    </w:div>
    <w:div w:id="1180194245">
      <w:bodyDiv w:val="1"/>
      <w:marLeft w:val="0"/>
      <w:marRight w:val="0"/>
      <w:marTop w:val="0"/>
      <w:marBottom w:val="0"/>
      <w:divBdr>
        <w:top w:val="none" w:sz="0" w:space="0" w:color="auto"/>
        <w:left w:val="none" w:sz="0" w:space="0" w:color="auto"/>
        <w:bottom w:val="none" w:sz="0" w:space="0" w:color="auto"/>
        <w:right w:val="none" w:sz="0" w:space="0" w:color="auto"/>
      </w:divBdr>
      <w:divsChild>
        <w:div w:id="367726507">
          <w:marLeft w:val="547"/>
          <w:marRight w:val="0"/>
          <w:marTop w:val="120"/>
          <w:marBottom w:val="0"/>
          <w:divBdr>
            <w:top w:val="none" w:sz="0" w:space="0" w:color="auto"/>
            <w:left w:val="none" w:sz="0" w:space="0" w:color="auto"/>
            <w:bottom w:val="none" w:sz="0" w:space="0" w:color="auto"/>
            <w:right w:val="none" w:sz="0" w:space="0" w:color="auto"/>
          </w:divBdr>
        </w:div>
        <w:div w:id="2056347336">
          <w:marLeft w:val="1166"/>
          <w:marRight w:val="0"/>
          <w:marTop w:val="101"/>
          <w:marBottom w:val="0"/>
          <w:divBdr>
            <w:top w:val="none" w:sz="0" w:space="0" w:color="auto"/>
            <w:left w:val="none" w:sz="0" w:space="0" w:color="auto"/>
            <w:bottom w:val="none" w:sz="0" w:space="0" w:color="auto"/>
            <w:right w:val="none" w:sz="0" w:space="0" w:color="auto"/>
          </w:divBdr>
        </w:div>
        <w:div w:id="2093312104">
          <w:marLeft w:val="1166"/>
          <w:marRight w:val="0"/>
          <w:marTop w:val="101"/>
          <w:marBottom w:val="0"/>
          <w:divBdr>
            <w:top w:val="none" w:sz="0" w:space="0" w:color="auto"/>
            <w:left w:val="none" w:sz="0" w:space="0" w:color="auto"/>
            <w:bottom w:val="none" w:sz="0" w:space="0" w:color="auto"/>
            <w:right w:val="none" w:sz="0" w:space="0" w:color="auto"/>
          </w:divBdr>
        </w:div>
        <w:div w:id="2108958490">
          <w:marLeft w:val="1166"/>
          <w:marRight w:val="0"/>
          <w:marTop w:val="101"/>
          <w:marBottom w:val="0"/>
          <w:divBdr>
            <w:top w:val="none" w:sz="0" w:space="0" w:color="auto"/>
            <w:left w:val="none" w:sz="0" w:space="0" w:color="auto"/>
            <w:bottom w:val="none" w:sz="0" w:space="0" w:color="auto"/>
            <w:right w:val="none" w:sz="0" w:space="0" w:color="auto"/>
          </w:divBdr>
        </w:div>
        <w:div w:id="1032341437">
          <w:marLeft w:val="1166"/>
          <w:marRight w:val="0"/>
          <w:marTop w:val="101"/>
          <w:marBottom w:val="0"/>
          <w:divBdr>
            <w:top w:val="none" w:sz="0" w:space="0" w:color="auto"/>
            <w:left w:val="none" w:sz="0" w:space="0" w:color="auto"/>
            <w:bottom w:val="none" w:sz="0" w:space="0" w:color="auto"/>
            <w:right w:val="none" w:sz="0" w:space="0" w:color="auto"/>
          </w:divBdr>
        </w:div>
        <w:div w:id="684209216">
          <w:marLeft w:val="1166"/>
          <w:marRight w:val="0"/>
          <w:marTop w:val="101"/>
          <w:marBottom w:val="0"/>
          <w:divBdr>
            <w:top w:val="none" w:sz="0" w:space="0" w:color="auto"/>
            <w:left w:val="none" w:sz="0" w:space="0" w:color="auto"/>
            <w:bottom w:val="none" w:sz="0" w:space="0" w:color="auto"/>
            <w:right w:val="none" w:sz="0" w:space="0" w:color="auto"/>
          </w:divBdr>
        </w:div>
        <w:div w:id="1005477009">
          <w:marLeft w:val="547"/>
          <w:marRight w:val="0"/>
          <w:marTop w:val="120"/>
          <w:marBottom w:val="0"/>
          <w:divBdr>
            <w:top w:val="none" w:sz="0" w:space="0" w:color="auto"/>
            <w:left w:val="none" w:sz="0" w:space="0" w:color="auto"/>
            <w:bottom w:val="none" w:sz="0" w:space="0" w:color="auto"/>
            <w:right w:val="none" w:sz="0" w:space="0" w:color="auto"/>
          </w:divBdr>
        </w:div>
        <w:div w:id="959066353">
          <w:marLeft w:val="547"/>
          <w:marRight w:val="0"/>
          <w:marTop w:val="120"/>
          <w:marBottom w:val="0"/>
          <w:divBdr>
            <w:top w:val="none" w:sz="0" w:space="0" w:color="auto"/>
            <w:left w:val="none" w:sz="0" w:space="0" w:color="auto"/>
            <w:bottom w:val="none" w:sz="0" w:space="0" w:color="auto"/>
            <w:right w:val="none" w:sz="0" w:space="0" w:color="auto"/>
          </w:divBdr>
        </w:div>
        <w:div w:id="635256661">
          <w:marLeft w:val="1166"/>
          <w:marRight w:val="0"/>
          <w:marTop w:val="101"/>
          <w:marBottom w:val="0"/>
          <w:divBdr>
            <w:top w:val="none" w:sz="0" w:space="0" w:color="auto"/>
            <w:left w:val="none" w:sz="0" w:space="0" w:color="auto"/>
            <w:bottom w:val="none" w:sz="0" w:space="0" w:color="auto"/>
            <w:right w:val="none" w:sz="0" w:space="0" w:color="auto"/>
          </w:divBdr>
        </w:div>
      </w:divsChild>
    </w:div>
    <w:div w:id="1465998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17209E-4B28-4E3C-91F5-4776F3AC5F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218</TotalTime>
  <Pages>2</Pages>
  <Words>587</Words>
  <Characters>3350</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Nurminen, Riikka (Nokia - FI/Espoo)</cp:lastModifiedBy>
  <cp:revision>15</cp:revision>
  <dcterms:created xsi:type="dcterms:W3CDTF">2018-03-26T10:33:00Z</dcterms:created>
  <dcterms:modified xsi:type="dcterms:W3CDTF">2018-08-10T18:11:00Z</dcterms:modified>
</cp:coreProperties>
</file>